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D68" w:rsidRDefault="00F73D68" w:rsidP="00F73D68">
      <w:pPr>
        <w:spacing w:after="0" w:line="240" w:lineRule="auto"/>
        <w:rPr>
          <w:rFonts w:ascii="Arial" w:hAnsi="Arial" w:cs="Arial"/>
          <w:b/>
        </w:rPr>
      </w:pPr>
    </w:p>
    <w:p w:rsidR="00F73D68" w:rsidRPr="009C7F65" w:rsidRDefault="00F73D68" w:rsidP="00F73D68">
      <w:pPr>
        <w:spacing w:after="0" w:line="240" w:lineRule="auto"/>
        <w:rPr>
          <w:rFonts w:ascii="Arial" w:hAnsi="Arial" w:cs="Arial"/>
          <w:b/>
        </w:rPr>
      </w:pPr>
      <w:r w:rsidRPr="009C7F65">
        <w:rPr>
          <w:rFonts w:ascii="Arial" w:hAnsi="Arial" w:cs="Arial"/>
          <w:b/>
        </w:rPr>
        <w:t>Método de evaluación técnica y criterios específicos. (4.21 POBALINES)</w:t>
      </w:r>
    </w:p>
    <w:p w:rsidR="00F73D68" w:rsidRDefault="00F73D68" w:rsidP="00F73D68">
      <w:pPr>
        <w:spacing w:after="0" w:line="240" w:lineRule="auto"/>
        <w:rPr>
          <w:rFonts w:ascii="Arial" w:hAnsi="Arial" w:cs="Arial"/>
        </w:rPr>
      </w:pPr>
    </w:p>
    <w:p w:rsidR="00F73D68" w:rsidRPr="009C7F65" w:rsidRDefault="00F73D68" w:rsidP="00F73D68">
      <w:pPr>
        <w:pStyle w:val="Prrafodelista"/>
        <w:numPr>
          <w:ilvl w:val="0"/>
          <w:numId w:val="1"/>
        </w:numPr>
        <w:autoSpaceDE w:val="0"/>
        <w:autoSpaceDN w:val="0"/>
        <w:adjustRightInd w:val="0"/>
        <w:rPr>
          <w:rFonts w:cs="Arial"/>
          <w:b/>
          <w:sz w:val="22"/>
          <w:szCs w:val="22"/>
          <w:lang w:val="es-MX" w:eastAsia="en-US"/>
        </w:rPr>
      </w:pPr>
      <w:r w:rsidRPr="009C7F65">
        <w:rPr>
          <w:rFonts w:cs="Arial"/>
          <w:b/>
          <w:sz w:val="22"/>
          <w:szCs w:val="22"/>
          <w:lang w:val="es-MX" w:eastAsia="en-US"/>
        </w:rPr>
        <w:t>Criterio para responder en la junta de aclaraciones las preguntas que sobre aspectos técnicos realicen los Licitantes</w:t>
      </w:r>
    </w:p>
    <w:p w:rsidR="00F73D68" w:rsidRPr="009C7F65" w:rsidRDefault="00F73D68" w:rsidP="00F73D68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</w:rPr>
      </w:pPr>
    </w:p>
    <w:p w:rsidR="00F73D68" w:rsidRPr="009C7F65" w:rsidRDefault="00F73D68" w:rsidP="00F73D68">
      <w:pPr>
        <w:autoSpaceDE w:val="0"/>
        <w:autoSpaceDN w:val="0"/>
        <w:adjustRightInd w:val="0"/>
        <w:spacing w:line="240" w:lineRule="auto"/>
        <w:rPr>
          <w:rFonts w:ascii="Arial" w:hAnsi="Arial" w:cs="Arial"/>
        </w:rPr>
      </w:pPr>
      <w:r w:rsidRPr="009C7F65">
        <w:rPr>
          <w:rFonts w:ascii="Arial" w:hAnsi="Arial" w:cs="Arial"/>
        </w:rPr>
        <w:t>Las preguntas de carácter técnico serán respondidas por la División de Pl</w:t>
      </w:r>
      <w:r w:rsidR="005A1CA8">
        <w:rPr>
          <w:rFonts w:ascii="Arial" w:hAnsi="Arial" w:cs="Arial"/>
        </w:rPr>
        <w:t xml:space="preserve">aneación de Bienes Terapéutico, </w:t>
      </w:r>
      <w:r w:rsidRPr="009C7F65">
        <w:rPr>
          <w:rFonts w:ascii="Arial" w:hAnsi="Arial" w:cs="Arial"/>
        </w:rPr>
        <w:t xml:space="preserve">la </w:t>
      </w:r>
      <w:r w:rsidR="005A1CA8" w:rsidRPr="005A1CA8">
        <w:rPr>
          <w:rFonts w:ascii="Arial" w:hAnsi="Arial" w:cs="Arial"/>
        </w:rPr>
        <w:t>Coordinación de Atención Integral a la Salud en el Primer Nivel</w:t>
      </w:r>
      <w:r w:rsidR="005A1CA8">
        <w:rPr>
          <w:rFonts w:ascii="Arial" w:hAnsi="Arial" w:cs="Arial"/>
        </w:rPr>
        <w:t xml:space="preserve"> y </w:t>
      </w:r>
      <w:r w:rsidR="005A1CA8" w:rsidRPr="005A1CA8">
        <w:rPr>
          <w:rFonts w:ascii="Arial" w:hAnsi="Arial" w:cs="Arial"/>
        </w:rPr>
        <w:t>Coordinación de Atención Integral a la Salud</w:t>
      </w:r>
      <w:r w:rsidR="005A1CA8">
        <w:rPr>
          <w:rFonts w:ascii="Arial" w:hAnsi="Arial" w:cs="Arial"/>
        </w:rPr>
        <w:t xml:space="preserve"> de la Unidad de IMSS Prospera.</w:t>
      </w:r>
    </w:p>
    <w:p w:rsidR="00F73D68" w:rsidRPr="009C7F65" w:rsidRDefault="00F73D68" w:rsidP="00F73D68">
      <w:pPr>
        <w:pStyle w:val="Prrafodelista"/>
        <w:numPr>
          <w:ilvl w:val="0"/>
          <w:numId w:val="1"/>
        </w:numPr>
        <w:autoSpaceDE w:val="0"/>
        <w:autoSpaceDN w:val="0"/>
        <w:adjustRightInd w:val="0"/>
        <w:jc w:val="left"/>
        <w:rPr>
          <w:rFonts w:cs="Arial"/>
          <w:b/>
          <w:sz w:val="22"/>
          <w:szCs w:val="22"/>
          <w:lang w:val="es-MX" w:eastAsia="en-US"/>
        </w:rPr>
      </w:pPr>
      <w:r w:rsidRPr="009C7F65">
        <w:rPr>
          <w:rFonts w:cs="Arial"/>
          <w:b/>
          <w:sz w:val="22"/>
          <w:szCs w:val="22"/>
          <w:lang w:val="es-MX" w:eastAsia="en-US"/>
        </w:rPr>
        <w:t>Criterio para realizar la evaluación técnica de las proposiciones y suscribir todos los documentos derivados de las acciones mencionadas</w:t>
      </w:r>
    </w:p>
    <w:p w:rsidR="00F73D68" w:rsidRDefault="00F73D68" w:rsidP="00F73D68">
      <w:pPr>
        <w:spacing w:after="0" w:line="240" w:lineRule="auto"/>
        <w:ind w:right="49"/>
        <w:rPr>
          <w:rFonts w:ascii="Arial" w:hAnsi="Arial" w:cs="Arial"/>
        </w:rPr>
      </w:pPr>
    </w:p>
    <w:p w:rsidR="00F73D68" w:rsidRPr="009C7F65" w:rsidRDefault="00F73D68" w:rsidP="00F73D68">
      <w:pPr>
        <w:spacing w:after="0" w:line="240" w:lineRule="auto"/>
        <w:ind w:right="49"/>
        <w:rPr>
          <w:rFonts w:ascii="Arial" w:hAnsi="Arial" w:cs="Arial"/>
        </w:rPr>
      </w:pPr>
      <w:r w:rsidRPr="009C7F65">
        <w:rPr>
          <w:rFonts w:ascii="Arial" w:hAnsi="Arial" w:cs="Arial"/>
        </w:rPr>
        <w:t>Con fundamento en lo dispuesto por el artículo 36 de la LAASSP, se evaluará de manera binaria, por lo que se procederá a evaluar técnicamente al menos las dos proposiciones cuyo precio resulte ser más bajo, de no resultar éstas solventes, se derivará la evaluación de las que le sigan en precio.</w:t>
      </w:r>
    </w:p>
    <w:p w:rsidR="00774616" w:rsidRDefault="00774616" w:rsidP="00774616">
      <w:pPr>
        <w:spacing w:after="0" w:line="240" w:lineRule="auto"/>
        <w:rPr>
          <w:rFonts w:ascii="Arial" w:hAnsi="Arial" w:cs="Arial"/>
        </w:rPr>
      </w:pPr>
    </w:p>
    <w:p w:rsidR="00774616" w:rsidRDefault="00774616" w:rsidP="0077461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Los aspectos a evaluar son los determinados en los numerales 51, 6.1, </w:t>
      </w:r>
      <w:r w:rsidR="00F84D39">
        <w:rPr>
          <w:rFonts w:ascii="Arial" w:hAnsi="Arial" w:cs="Arial"/>
        </w:rPr>
        <w:t xml:space="preserve">6.2, 6.3, 6.4 </w:t>
      </w:r>
      <w:r>
        <w:rPr>
          <w:rFonts w:ascii="Arial" w:hAnsi="Arial" w:cs="Arial"/>
        </w:rPr>
        <w:t>y formato de propuesta técnica, del documento denominado Términos y Condiciones.</w:t>
      </w:r>
    </w:p>
    <w:p w:rsidR="00F73D68" w:rsidRPr="009C7F65" w:rsidRDefault="00F73D68" w:rsidP="00F73D68">
      <w:pPr>
        <w:spacing w:after="0" w:line="240" w:lineRule="auto"/>
        <w:ind w:right="49"/>
        <w:rPr>
          <w:rFonts w:ascii="Arial" w:hAnsi="Arial" w:cs="Arial"/>
        </w:rPr>
      </w:pPr>
    </w:p>
    <w:p w:rsidR="00774616" w:rsidRDefault="00F73D68" w:rsidP="00F73D68">
      <w:pPr>
        <w:spacing w:after="0" w:line="240" w:lineRule="auto"/>
        <w:rPr>
          <w:rFonts w:ascii="Arial" w:hAnsi="Arial" w:cs="Arial"/>
        </w:rPr>
      </w:pPr>
      <w:r w:rsidRPr="009C7F65">
        <w:rPr>
          <w:rFonts w:ascii="Arial" w:hAnsi="Arial" w:cs="Arial"/>
        </w:rPr>
        <w:t>La evaluación de las proposiciones técnicas será realizada por</w:t>
      </w:r>
      <w:r>
        <w:rPr>
          <w:rFonts w:ascii="Arial" w:hAnsi="Arial" w:cs="Arial"/>
        </w:rPr>
        <w:t xml:space="preserve"> las siguientes</w:t>
      </w:r>
      <w:r w:rsidR="00774616">
        <w:rPr>
          <w:rFonts w:ascii="Arial" w:hAnsi="Arial" w:cs="Arial"/>
        </w:rPr>
        <w:t xml:space="preserve"> áreas:</w:t>
      </w:r>
    </w:p>
    <w:p w:rsidR="00774616" w:rsidRDefault="00774616" w:rsidP="00F73D68">
      <w:pPr>
        <w:spacing w:after="0" w:line="240" w:lineRule="auto"/>
        <w:rPr>
          <w:rFonts w:ascii="Arial" w:hAnsi="Arial" w:cs="Arial"/>
        </w:rPr>
      </w:pPr>
    </w:p>
    <w:p w:rsidR="005A1CA8" w:rsidRDefault="005A1CA8" w:rsidP="005A1CA8">
      <w:pPr>
        <w:pStyle w:val="Prrafodelista"/>
        <w:numPr>
          <w:ilvl w:val="0"/>
          <w:numId w:val="4"/>
        </w:numPr>
        <w:rPr>
          <w:rFonts w:cs="Arial"/>
          <w:sz w:val="22"/>
          <w:szCs w:val="22"/>
          <w:lang w:val="es-MX" w:eastAsia="en-US"/>
        </w:rPr>
      </w:pPr>
      <w:r w:rsidRPr="005A1CA8">
        <w:rPr>
          <w:rFonts w:cs="Arial"/>
          <w:sz w:val="22"/>
          <w:szCs w:val="22"/>
          <w:lang w:val="es-MX" w:eastAsia="en-US"/>
        </w:rPr>
        <w:t xml:space="preserve">Coordinación de Atención Integral a la Salud en el Primer Nivel </w:t>
      </w:r>
    </w:p>
    <w:p w:rsidR="00F73D68" w:rsidRPr="00774616" w:rsidRDefault="005A1CA8" w:rsidP="005A1CA8">
      <w:pPr>
        <w:pStyle w:val="Prrafodelista"/>
        <w:numPr>
          <w:ilvl w:val="0"/>
          <w:numId w:val="4"/>
        </w:numPr>
        <w:rPr>
          <w:rFonts w:cs="Arial"/>
          <w:sz w:val="22"/>
          <w:szCs w:val="22"/>
          <w:lang w:val="es-MX" w:eastAsia="en-US"/>
        </w:rPr>
      </w:pPr>
      <w:r w:rsidRPr="005A1CA8">
        <w:rPr>
          <w:rFonts w:cs="Arial"/>
          <w:sz w:val="22"/>
          <w:szCs w:val="22"/>
          <w:lang w:val="es-MX" w:eastAsia="en-US"/>
        </w:rPr>
        <w:t>Coordinación de Atención Integral a la Salud de la Unidad de IMSS Prospera</w:t>
      </w:r>
    </w:p>
    <w:p w:rsidR="00774616" w:rsidRPr="005A1CA8" w:rsidRDefault="00774616" w:rsidP="005A1CA8">
      <w:pPr>
        <w:pStyle w:val="Prrafodelista"/>
        <w:numPr>
          <w:ilvl w:val="0"/>
          <w:numId w:val="4"/>
        </w:numPr>
        <w:rPr>
          <w:rFonts w:cs="Arial"/>
          <w:sz w:val="22"/>
          <w:szCs w:val="22"/>
          <w:lang w:val="es-MX" w:eastAsia="en-US"/>
        </w:rPr>
      </w:pPr>
      <w:r w:rsidRPr="00774616">
        <w:rPr>
          <w:rFonts w:cs="Arial"/>
          <w:sz w:val="22"/>
          <w:szCs w:val="22"/>
          <w:lang w:val="es-MX" w:eastAsia="en-US"/>
        </w:rPr>
        <w:t>División de Planeación de Bienes Terapéuticos</w:t>
      </w:r>
    </w:p>
    <w:p w:rsidR="00F73D68" w:rsidRDefault="00F73D68" w:rsidP="00F73D68">
      <w:pPr>
        <w:spacing w:after="0" w:line="240" w:lineRule="auto"/>
        <w:rPr>
          <w:rFonts w:ascii="Arial" w:hAnsi="Arial" w:cs="Arial"/>
        </w:rPr>
      </w:pPr>
    </w:p>
    <w:p w:rsidR="00F73D68" w:rsidRPr="009C7F65" w:rsidRDefault="00F73D68" w:rsidP="00F73D68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Las </w:t>
      </w:r>
      <w:r w:rsidRPr="009C7F65">
        <w:rPr>
          <w:rFonts w:ascii="Arial" w:hAnsi="Arial" w:cs="Arial"/>
        </w:rPr>
        <w:t>área</w:t>
      </w:r>
      <w:r>
        <w:rPr>
          <w:rFonts w:ascii="Arial" w:hAnsi="Arial" w:cs="Arial"/>
        </w:rPr>
        <w:t>s</w:t>
      </w:r>
      <w:r w:rsidRPr="009C7F65">
        <w:rPr>
          <w:rFonts w:ascii="Arial" w:hAnsi="Arial" w:cs="Arial"/>
        </w:rPr>
        <w:t xml:space="preserve"> técnica</w:t>
      </w:r>
      <w:r>
        <w:rPr>
          <w:rFonts w:ascii="Arial" w:hAnsi="Arial" w:cs="Arial"/>
        </w:rPr>
        <w:t>s</w:t>
      </w:r>
      <w:r w:rsidRPr="009C7F65">
        <w:rPr>
          <w:rFonts w:ascii="Arial" w:hAnsi="Arial" w:cs="Arial"/>
        </w:rPr>
        <w:t>, verificará</w:t>
      </w:r>
      <w:r>
        <w:rPr>
          <w:rFonts w:ascii="Arial" w:hAnsi="Arial" w:cs="Arial"/>
        </w:rPr>
        <w:t>n</w:t>
      </w:r>
      <w:r w:rsidRPr="009C7F65">
        <w:rPr>
          <w:rFonts w:ascii="Arial" w:hAnsi="Arial" w:cs="Arial"/>
        </w:rPr>
        <w:t xml:space="preserve"> que la documentación </w:t>
      </w:r>
      <w:r w:rsidR="005A1CA8">
        <w:rPr>
          <w:rFonts w:ascii="Arial" w:hAnsi="Arial" w:cs="Arial"/>
        </w:rPr>
        <w:t xml:space="preserve"> </w:t>
      </w:r>
      <w:r w:rsidRPr="009C7F65">
        <w:rPr>
          <w:rFonts w:ascii="Arial" w:hAnsi="Arial" w:cs="Arial"/>
        </w:rPr>
        <w:t>presentad</w:t>
      </w:r>
      <w:r w:rsidR="005A1CA8">
        <w:rPr>
          <w:rFonts w:ascii="Arial" w:hAnsi="Arial" w:cs="Arial"/>
        </w:rPr>
        <w:t>a</w:t>
      </w:r>
      <w:r w:rsidRPr="009C7F65">
        <w:rPr>
          <w:rFonts w:ascii="Arial" w:hAnsi="Arial" w:cs="Arial"/>
        </w:rPr>
        <w:t xml:space="preserve"> por el licitante, cumplan con los requisitos solicitados en la convocatoria, términos y condiciones, así como los que se deriven del acto de la junta de aclaraciones y que con motivo de dicho incumplimiento se afecte la solvencia de la propuesta.</w:t>
      </w:r>
    </w:p>
    <w:p w:rsidR="00F73D68" w:rsidRPr="009C7F65" w:rsidRDefault="00F73D68" w:rsidP="00F73D68">
      <w:pPr>
        <w:spacing w:after="0" w:line="240" w:lineRule="auto"/>
        <w:rPr>
          <w:rFonts w:ascii="Arial" w:hAnsi="Arial" w:cs="Arial"/>
        </w:rPr>
      </w:pPr>
    </w:p>
    <w:p w:rsidR="00F73D68" w:rsidRPr="009C7F65" w:rsidRDefault="00F73D68" w:rsidP="00F73D68">
      <w:pPr>
        <w:spacing w:after="0" w:line="240" w:lineRule="auto"/>
        <w:rPr>
          <w:rFonts w:ascii="Arial" w:hAnsi="Arial" w:cs="Arial"/>
        </w:rPr>
      </w:pPr>
      <w:r w:rsidRPr="009C7F65">
        <w:rPr>
          <w:rFonts w:ascii="Arial" w:hAnsi="Arial" w:cs="Arial"/>
        </w:rPr>
        <w:t xml:space="preserve">Para efectos de la evaluación, se tomarán en consideración los criterios siguientes: </w:t>
      </w:r>
    </w:p>
    <w:p w:rsidR="00F73D68" w:rsidRPr="009C7F65" w:rsidRDefault="00F73D68" w:rsidP="00F73D68">
      <w:pPr>
        <w:spacing w:after="0" w:line="240" w:lineRule="auto"/>
        <w:rPr>
          <w:rFonts w:ascii="Arial" w:hAnsi="Arial" w:cs="Arial"/>
        </w:rPr>
      </w:pPr>
    </w:p>
    <w:p w:rsidR="00F73D68" w:rsidRDefault="00F73D68" w:rsidP="00F73D68">
      <w:pPr>
        <w:pStyle w:val="Prrafodelista"/>
        <w:numPr>
          <w:ilvl w:val="0"/>
          <w:numId w:val="2"/>
        </w:numPr>
        <w:contextualSpacing w:val="0"/>
        <w:rPr>
          <w:rFonts w:cs="Arial"/>
          <w:sz w:val="22"/>
          <w:szCs w:val="22"/>
          <w:lang w:val="es-MX"/>
        </w:rPr>
      </w:pPr>
      <w:r w:rsidRPr="00774616">
        <w:rPr>
          <w:rFonts w:cs="Arial"/>
          <w:sz w:val="22"/>
          <w:szCs w:val="22"/>
        </w:rPr>
        <w:t>Descripción amplia y detallada de los bienes</w:t>
      </w:r>
      <w:r w:rsidRPr="00774616">
        <w:rPr>
          <w:rFonts w:cs="Arial"/>
          <w:sz w:val="22"/>
          <w:szCs w:val="22"/>
          <w:lang w:val="es-MX"/>
        </w:rPr>
        <w:t xml:space="preserve">, conforme a la información que se incluye como </w:t>
      </w:r>
      <w:r w:rsidRPr="00774616">
        <w:rPr>
          <w:rFonts w:cs="Arial"/>
          <w:sz w:val="22"/>
          <w:szCs w:val="22"/>
        </w:rPr>
        <w:t>formato propuesta técnica</w:t>
      </w:r>
      <w:r w:rsidRPr="00774616">
        <w:rPr>
          <w:rFonts w:cs="Arial"/>
          <w:sz w:val="22"/>
          <w:szCs w:val="22"/>
          <w:lang w:val="es-MX"/>
        </w:rPr>
        <w:t>, suscrito el licitante a través de su representada que cuente con facultades para suscribir la propuesta</w:t>
      </w:r>
      <w:r w:rsidRPr="00774616">
        <w:rPr>
          <w:rFonts w:cs="Arial"/>
          <w:sz w:val="22"/>
          <w:szCs w:val="22"/>
        </w:rPr>
        <w:t>.</w:t>
      </w:r>
    </w:p>
    <w:p w:rsidR="00CD50DF" w:rsidRPr="00774616" w:rsidRDefault="00CD50DF" w:rsidP="00CD50DF">
      <w:pPr>
        <w:pStyle w:val="Prrafodelista"/>
        <w:contextualSpacing w:val="0"/>
        <w:rPr>
          <w:rFonts w:cs="Arial"/>
          <w:sz w:val="22"/>
          <w:szCs w:val="22"/>
          <w:lang w:val="es-MX"/>
        </w:rPr>
      </w:pPr>
    </w:p>
    <w:p w:rsidR="00F73D68" w:rsidRPr="00CD50DF" w:rsidRDefault="00F73D68" w:rsidP="00CD50DF">
      <w:pPr>
        <w:pStyle w:val="Prrafodelista"/>
        <w:contextualSpacing w:val="0"/>
        <w:rPr>
          <w:rFonts w:cs="Arial"/>
          <w:sz w:val="22"/>
          <w:szCs w:val="22"/>
          <w:lang w:val="es-MX"/>
        </w:rPr>
      </w:pPr>
      <w:r w:rsidRPr="00CD50DF">
        <w:rPr>
          <w:rFonts w:cs="Arial"/>
          <w:sz w:val="22"/>
          <w:szCs w:val="22"/>
          <w:lang w:val="es-MX"/>
        </w:rPr>
        <w:t xml:space="preserve">Se revisará que los bienes ofertados cumplan con la clave, descripción, presentación, y cantidad requerida </w:t>
      </w:r>
      <w:r w:rsidR="00CD50DF" w:rsidRPr="00CD50DF">
        <w:rPr>
          <w:rFonts w:cs="Arial"/>
          <w:sz w:val="22"/>
          <w:szCs w:val="22"/>
          <w:lang w:val="es-MX"/>
        </w:rPr>
        <w:t xml:space="preserve">en la convocatoria o con los que resulten de la junta de aclaraciones (en apego al Cuadro Básico y Catálogo de Medicamentos emitido por la Comisión Interinstitucional del Cuadro Básico y Catálogo de Insumos del Sector Salud, así como en el Cuadro Básico de Medicamentos del Instituto Mexicano del Seguro Social vigente). </w:t>
      </w:r>
      <w:r w:rsidRPr="00CD50DF">
        <w:rPr>
          <w:rFonts w:cs="Arial"/>
          <w:sz w:val="22"/>
          <w:szCs w:val="22"/>
          <w:lang w:val="es-MX"/>
        </w:rPr>
        <w:t>Los documentos legibles y en idioma español.</w:t>
      </w:r>
    </w:p>
    <w:p w:rsidR="00F73D68" w:rsidRPr="009C7F65" w:rsidRDefault="00F73D68" w:rsidP="00F73D68">
      <w:pPr>
        <w:pStyle w:val="Prrafodelista"/>
        <w:contextualSpacing w:val="0"/>
        <w:rPr>
          <w:rFonts w:cs="Arial"/>
          <w:sz w:val="22"/>
          <w:szCs w:val="22"/>
          <w:highlight w:val="yellow"/>
          <w:lang w:val="es-MX"/>
        </w:rPr>
      </w:pPr>
    </w:p>
    <w:p w:rsidR="00F73D68" w:rsidRDefault="00F73D68" w:rsidP="00F73D68">
      <w:pPr>
        <w:pStyle w:val="Prrafodelista"/>
        <w:numPr>
          <w:ilvl w:val="0"/>
          <w:numId w:val="2"/>
        </w:numPr>
        <w:contextualSpacing w:val="0"/>
        <w:rPr>
          <w:rFonts w:cs="Arial"/>
          <w:sz w:val="22"/>
          <w:szCs w:val="22"/>
          <w:lang w:val="es-MX"/>
        </w:rPr>
      </w:pPr>
      <w:r w:rsidRPr="00774616">
        <w:rPr>
          <w:rFonts w:cs="Arial"/>
          <w:sz w:val="22"/>
          <w:szCs w:val="22"/>
          <w:lang w:val="es-MX"/>
        </w:rPr>
        <w:t>Cumplimiento de Cumplimiento de normas. (numeral 5.1)</w:t>
      </w:r>
    </w:p>
    <w:p w:rsidR="00F84D39" w:rsidRPr="00774616" w:rsidRDefault="00F84D39" w:rsidP="00F84D39">
      <w:pPr>
        <w:pStyle w:val="Prrafodelista"/>
        <w:contextualSpacing w:val="0"/>
        <w:rPr>
          <w:rFonts w:cs="Arial"/>
          <w:sz w:val="22"/>
          <w:szCs w:val="22"/>
          <w:lang w:val="es-MX"/>
        </w:rPr>
      </w:pPr>
    </w:p>
    <w:p w:rsidR="00F73D68" w:rsidRPr="00774616" w:rsidRDefault="00F73D68" w:rsidP="00F73D68">
      <w:pPr>
        <w:pStyle w:val="Prrafodelista"/>
        <w:contextualSpacing w:val="0"/>
        <w:rPr>
          <w:rFonts w:cs="Arial"/>
          <w:sz w:val="22"/>
          <w:szCs w:val="22"/>
          <w:lang w:val="es-MX"/>
        </w:rPr>
      </w:pPr>
      <w:r w:rsidRPr="00653B64">
        <w:rPr>
          <w:rFonts w:cs="Arial"/>
          <w:sz w:val="22"/>
          <w:szCs w:val="22"/>
          <w:lang w:val="es-MX"/>
        </w:rPr>
        <w:lastRenderedPageBreak/>
        <w:t xml:space="preserve">Se revisará que el escrito cumpla lo solicitado en dicho numeral y que se encuentre suscrito por el licitante a través de su representada que cuente con </w:t>
      </w:r>
      <w:r w:rsidRPr="00774616">
        <w:rPr>
          <w:rFonts w:cs="Arial"/>
          <w:sz w:val="22"/>
          <w:szCs w:val="22"/>
          <w:lang w:val="es-MX"/>
        </w:rPr>
        <w:t>facultades para suscribir la propuesta. L</w:t>
      </w:r>
      <w:r w:rsidRPr="00774616">
        <w:rPr>
          <w:rFonts w:cs="Arial"/>
          <w:sz w:val="22"/>
          <w:szCs w:val="22"/>
        </w:rPr>
        <w:t xml:space="preserve">os documentos legibles </w:t>
      </w:r>
      <w:r w:rsidRPr="00774616">
        <w:rPr>
          <w:rFonts w:cs="Arial"/>
          <w:sz w:val="22"/>
          <w:szCs w:val="22"/>
          <w:lang w:val="es-MX"/>
        </w:rPr>
        <w:t xml:space="preserve">y </w:t>
      </w:r>
      <w:r w:rsidRPr="00774616">
        <w:rPr>
          <w:rFonts w:cs="Arial"/>
          <w:sz w:val="22"/>
          <w:szCs w:val="22"/>
        </w:rPr>
        <w:t>en idioma español</w:t>
      </w:r>
      <w:r w:rsidRPr="00774616">
        <w:rPr>
          <w:rFonts w:cs="Arial"/>
          <w:sz w:val="22"/>
          <w:szCs w:val="22"/>
          <w:lang w:val="es-MX"/>
        </w:rPr>
        <w:t>.</w:t>
      </w:r>
    </w:p>
    <w:p w:rsidR="00F73D68" w:rsidRPr="00774616" w:rsidRDefault="00F73D68" w:rsidP="00F73D68">
      <w:pPr>
        <w:pStyle w:val="Prrafodelista"/>
        <w:contextualSpacing w:val="0"/>
        <w:rPr>
          <w:rFonts w:cs="Arial"/>
          <w:sz w:val="22"/>
          <w:szCs w:val="22"/>
          <w:lang w:val="es-MX"/>
        </w:rPr>
      </w:pPr>
    </w:p>
    <w:p w:rsidR="00F73D68" w:rsidRPr="00774616" w:rsidRDefault="00F73D68" w:rsidP="00F73D68">
      <w:pPr>
        <w:pStyle w:val="Prrafodelista"/>
        <w:numPr>
          <w:ilvl w:val="0"/>
          <w:numId w:val="2"/>
        </w:numPr>
        <w:contextualSpacing w:val="0"/>
        <w:rPr>
          <w:rFonts w:cs="Arial"/>
          <w:sz w:val="22"/>
          <w:szCs w:val="22"/>
          <w:lang w:val="es-MX"/>
        </w:rPr>
      </w:pPr>
      <w:r w:rsidRPr="00774616">
        <w:rPr>
          <w:rFonts w:cs="Arial"/>
          <w:sz w:val="22"/>
          <w:szCs w:val="22"/>
          <w:lang w:val="es-MX"/>
        </w:rPr>
        <w:t>Licencias, Permisos, Registros, Certificados o Autorizaciones que debe cumplir o aplicarse al bien; (numerales 6.1, 6.2, 6.3</w:t>
      </w:r>
      <w:r w:rsidR="00F84D39">
        <w:rPr>
          <w:rFonts w:cs="Arial"/>
          <w:sz w:val="22"/>
          <w:szCs w:val="22"/>
          <w:lang w:val="es-MX"/>
        </w:rPr>
        <w:t xml:space="preserve"> y</w:t>
      </w:r>
      <w:r w:rsidRPr="00774616">
        <w:rPr>
          <w:rFonts w:cs="Arial"/>
          <w:sz w:val="22"/>
          <w:szCs w:val="22"/>
          <w:lang w:val="es-MX"/>
        </w:rPr>
        <w:t xml:space="preserve"> 6.4)</w:t>
      </w:r>
    </w:p>
    <w:p w:rsidR="00CD50DF" w:rsidRDefault="00CD50DF" w:rsidP="00F73D68">
      <w:pPr>
        <w:pStyle w:val="Prrafodelista"/>
        <w:contextualSpacing w:val="0"/>
        <w:rPr>
          <w:rFonts w:cs="Arial"/>
          <w:sz w:val="22"/>
          <w:szCs w:val="22"/>
          <w:lang w:val="es-MX"/>
        </w:rPr>
      </w:pPr>
    </w:p>
    <w:p w:rsidR="00F73D68" w:rsidRDefault="00F73D68" w:rsidP="00F73D68">
      <w:pPr>
        <w:pStyle w:val="Prrafodelista"/>
        <w:contextualSpacing w:val="0"/>
        <w:rPr>
          <w:rFonts w:cs="Arial"/>
          <w:sz w:val="22"/>
          <w:szCs w:val="22"/>
          <w:lang w:val="es-MX"/>
        </w:rPr>
      </w:pPr>
      <w:r w:rsidRPr="00774616">
        <w:rPr>
          <w:rFonts w:cs="Arial"/>
          <w:sz w:val="22"/>
          <w:szCs w:val="22"/>
          <w:lang w:val="es-MX"/>
        </w:rPr>
        <w:t>Se revisará que los documentos se presenten para cada uno de los numerales</w:t>
      </w:r>
      <w:r>
        <w:rPr>
          <w:rFonts w:cs="Arial"/>
          <w:sz w:val="22"/>
          <w:szCs w:val="22"/>
          <w:lang w:val="es-MX"/>
        </w:rPr>
        <w:t xml:space="preserve"> como se solicita, para lo cual se deberá presentar documentación legible y en idioma español. </w:t>
      </w:r>
    </w:p>
    <w:p w:rsidR="00F73D68" w:rsidRDefault="00F73D68" w:rsidP="00F73D68">
      <w:pPr>
        <w:pStyle w:val="Prrafodelista"/>
        <w:contextualSpacing w:val="0"/>
        <w:rPr>
          <w:rFonts w:cs="Arial"/>
          <w:sz w:val="22"/>
          <w:szCs w:val="22"/>
          <w:lang w:val="es-MX"/>
        </w:rPr>
      </w:pPr>
    </w:p>
    <w:p w:rsidR="00F73D68" w:rsidRDefault="00F73D68" w:rsidP="00F73D68">
      <w:pPr>
        <w:pStyle w:val="Prrafodelista"/>
        <w:contextualSpacing w:val="0"/>
        <w:rPr>
          <w:rFonts w:cs="Arial"/>
          <w:sz w:val="22"/>
          <w:szCs w:val="22"/>
          <w:lang w:val="es-MX"/>
        </w:rPr>
      </w:pPr>
      <w:r>
        <w:rPr>
          <w:rFonts w:cs="Arial"/>
          <w:sz w:val="22"/>
          <w:szCs w:val="22"/>
          <w:lang w:val="es-MX"/>
        </w:rPr>
        <w:t>Los documentos deberán contar con al menos en el caso del registro sanitario con lo siguiente:</w:t>
      </w:r>
    </w:p>
    <w:p w:rsidR="00CD50DF" w:rsidRPr="004A038D" w:rsidRDefault="00CD50DF" w:rsidP="00CD50DF">
      <w:pPr>
        <w:pStyle w:val="Prrafodelista"/>
        <w:rPr>
          <w:rFonts w:cs="Arial"/>
        </w:rPr>
      </w:pPr>
    </w:p>
    <w:p w:rsidR="003D10B5" w:rsidRPr="003D10B5" w:rsidRDefault="003D10B5" w:rsidP="003D10B5">
      <w:pPr>
        <w:pStyle w:val="Prrafodelista"/>
        <w:rPr>
          <w:rFonts w:cs="Arial"/>
          <w:sz w:val="22"/>
          <w:szCs w:val="22"/>
          <w:lang w:val="es-MX"/>
        </w:rPr>
      </w:pPr>
      <w:r w:rsidRPr="003D10B5">
        <w:rPr>
          <w:rFonts w:cs="Arial"/>
          <w:sz w:val="22"/>
          <w:szCs w:val="22"/>
          <w:lang w:val="es-MX"/>
        </w:rPr>
        <w:t>1. Denominación genérica</w:t>
      </w:r>
    </w:p>
    <w:p w:rsidR="003D10B5" w:rsidRPr="003D10B5" w:rsidRDefault="003D10B5" w:rsidP="003D10B5">
      <w:pPr>
        <w:pStyle w:val="Prrafodelista"/>
        <w:rPr>
          <w:rFonts w:cs="Arial"/>
          <w:sz w:val="22"/>
          <w:szCs w:val="22"/>
          <w:lang w:val="es-MX"/>
        </w:rPr>
      </w:pPr>
      <w:r w:rsidRPr="003D10B5">
        <w:rPr>
          <w:rFonts w:cs="Arial"/>
          <w:sz w:val="22"/>
          <w:szCs w:val="22"/>
          <w:lang w:val="es-MX"/>
        </w:rPr>
        <w:t xml:space="preserve">2. Forma farmacéutica </w:t>
      </w:r>
    </w:p>
    <w:p w:rsidR="003D10B5" w:rsidRPr="003D10B5" w:rsidRDefault="003D10B5" w:rsidP="003D10B5">
      <w:pPr>
        <w:pStyle w:val="Prrafodelista"/>
        <w:rPr>
          <w:rFonts w:cs="Arial"/>
          <w:sz w:val="22"/>
          <w:szCs w:val="22"/>
          <w:lang w:val="es-MX"/>
        </w:rPr>
      </w:pPr>
      <w:r w:rsidRPr="003D10B5">
        <w:rPr>
          <w:rFonts w:cs="Arial"/>
          <w:sz w:val="22"/>
          <w:szCs w:val="22"/>
          <w:lang w:val="es-MX"/>
        </w:rPr>
        <w:t>3. Fórmula del fármaco</w:t>
      </w:r>
    </w:p>
    <w:p w:rsidR="003D10B5" w:rsidRPr="003D10B5" w:rsidRDefault="003D10B5" w:rsidP="003D10B5">
      <w:pPr>
        <w:pStyle w:val="Prrafodelista"/>
        <w:rPr>
          <w:rFonts w:cs="Arial"/>
          <w:sz w:val="22"/>
          <w:szCs w:val="22"/>
          <w:lang w:val="es-MX"/>
        </w:rPr>
      </w:pPr>
      <w:r w:rsidRPr="003D10B5">
        <w:rPr>
          <w:rFonts w:cs="Arial"/>
          <w:sz w:val="22"/>
          <w:szCs w:val="22"/>
          <w:lang w:val="es-MX"/>
        </w:rPr>
        <w:t>4. Presentación</w:t>
      </w:r>
    </w:p>
    <w:p w:rsidR="003D10B5" w:rsidRPr="003D10B5" w:rsidRDefault="003D10B5" w:rsidP="003D10B5">
      <w:pPr>
        <w:pStyle w:val="Prrafodelista"/>
        <w:rPr>
          <w:rFonts w:cs="Arial"/>
          <w:sz w:val="22"/>
          <w:szCs w:val="22"/>
          <w:lang w:val="es-MX"/>
        </w:rPr>
      </w:pPr>
      <w:r w:rsidRPr="003D10B5">
        <w:rPr>
          <w:rFonts w:cs="Arial"/>
          <w:sz w:val="22"/>
          <w:szCs w:val="22"/>
          <w:lang w:val="es-MX"/>
        </w:rPr>
        <w:t>5. Indicación terapéutica</w:t>
      </w:r>
    </w:p>
    <w:p w:rsidR="003D10B5" w:rsidRPr="003D10B5" w:rsidRDefault="003D10B5" w:rsidP="003D10B5">
      <w:pPr>
        <w:pStyle w:val="Prrafodelista"/>
        <w:rPr>
          <w:rFonts w:cs="Arial"/>
          <w:sz w:val="22"/>
          <w:szCs w:val="22"/>
          <w:lang w:val="es-MX"/>
        </w:rPr>
      </w:pPr>
      <w:r w:rsidRPr="003D10B5">
        <w:rPr>
          <w:rFonts w:cs="Arial"/>
          <w:sz w:val="22"/>
          <w:szCs w:val="22"/>
          <w:lang w:val="es-MX"/>
        </w:rPr>
        <w:t>6. Vía de administración</w:t>
      </w:r>
    </w:p>
    <w:p w:rsidR="003D10B5" w:rsidRPr="003D10B5" w:rsidRDefault="003D10B5" w:rsidP="003D10B5">
      <w:pPr>
        <w:pStyle w:val="Prrafodelista"/>
        <w:rPr>
          <w:rFonts w:cs="Arial"/>
          <w:sz w:val="22"/>
          <w:szCs w:val="22"/>
          <w:lang w:val="es-MX"/>
        </w:rPr>
      </w:pPr>
      <w:r w:rsidRPr="003D10B5">
        <w:rPr>
          <w:rFonts w:cs="Arial"/>
          <w:sz w:val="22"/>
          <w:szCs w:val="22"/>
          <w:lang w:val="es-MX"/>
        </w:rPr>
        <w:t xml:space="preserve">7. Consideraciones de uso    </w:t>
      </w:r>
    </w:p>
    <w:p w:rsidR="00CD50DF" w:rsidRPr="003D10B5" w:rsidRDefault="003D10B5" w:rsidP="003D10B5">
      <w:pPr>
        <w:pStyle w:val="Prrafodelista"/>
        <w:rPr>
          <w:rFonts w:cs="Arial"/>
          <w:lang w:val="es-MX"/>
        </w:rPr>
      </w:pPr>
      <w:r w:rsidRPr="003D10B5">
        <w:rPr>
          <w:rFonts w:cs="Arial"/>
          <w:sz w:val="22"/>
          <w:szCs w:val="22"/>
          <w:lang w:val="es-MX"/>
        </w:rPr>
        <w:t>8. Vigencia (fecha de expedición y fecha de vencimiento)</w:t>
      </w:r>
      <w:bookmarkStart w:id="0" w:name="_GoBack"/>
      <w:bookmarkEnd w:id="0"/>
    </w:p>
    <w:p w:rsidR="00F73D68" w:rsidRPr="009C7F65" w:rsidRDefault="00F73D68" w:rsidP="00F73D68">
      <w:pPr>
        <w:pStyle w:val="Prrafodelista"/>
        <w:autoSpaceDE w:val="0"/>
        <w:autoSpaceDN w:val="0"/>
        <w:adjustRightInd w:val="0"/>
        <w:jc w:val="left"/>
        <w:rPr>
          <w:rFonts w:eastAsiaTheme="minorHAnsi" w:cs="Arial"/>
          <w:sz w:val="22"/>
          <w:szCs w:val="22"/>
        </w:rPr>
      </w:pPr>
    </w:p>
    <w:p w:rsidR="006233BE" w:rsidRPr="00F73D68" w:rsidRDefault="006233BE">
      <w:pPr>
        <w:rPr>
          <w:lang w:val="x-none"/>
        </w:rPr>
      </w:pPr>
    </w:p>
    <w:sectPr w:rsidR="006233BE" w:rsidRPr="00F73D68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711D" w:rsidRDefault="00E8711D" w:rsidP="00774616">
      <w:pPr>
        <w:spacing w:after="0" w:line="240" w:lineRule="auto"/>
      </w:pPr>
      <w:r>
        <w:separator/>
      </w:r>
    </w:p>
  </w:endnote>
  <w:endnote w:type="continuationSeparator" w:id="0">
    <w:p w:rsidR="00E8711D" w:rsidRDefault="00E8711D" w:rsidP="007746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6315466"/>
      <w:docPartObj>
        <w:docPartGallery w:val="Page Numbers (Bottom of Page)"/>
        <w:docPartUnique/>
      </w:docPartObj>
    </w:sdtPr>
    <w:sdtEndPr/>
    <w:sdtContent>
      <w:p w:rsidR="00CD50DF" w:rsidRDefault="00CD50DF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10B5" w:rsidRPr="003D10B5">
          <w:rPr>
            <w:noProof/>
            <w:lang w:val="es-ES"/>
          </w:rPr>
          <w:t>2</w:t>
        </w:r>
        <w:r>
          <w:fldChar w:fldCharType="end"/>
        </w:r>
        <w:r>
          <w:t>/Criterios de evaluación MD 2018</w:t>
        </w:r>
      </w:p>
    </w:sdtContent>
  </w:sdt>
  <w:p w:rsidR="00CD50DF" w:rsidRDefault="00CD50D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711D" w:rsidRDefault="00E8711D" w:rsidP="00774616">
      <w:pPr>
        <w:spacing w:after="0" w:line="240" w:lineRule="auto"/>
      </w:pPr>
      <w:r>
        <w:separator/>
      </w:r>
    </w:p>
  </w:footnote>
  <w:footnote w:type="continuationSeparator" w:id="0">
    <w:p w:rsidR="00E8711D" w:rsidRDefault="00E8711D" w:rsidP="007746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4616" w:rsidRDefault="00774616" w:rsidP="00774616">
    <w:pPr>
      <w:pStyle w:val="Encabezado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column">
                <wp:posOffset>1514475</wp:posOffset>
              </wp:positionH>
              <wp:positionV relativeFrom="paragraph">
                <wp:posOffset>-107315</wp:posOffset>
              </wp:positionV>
              <wp:extent cx="4333875" cy="695325"/>
              <wp:effectExtent l="0" t="0" r="28575" b="28575"/>
              <wp:wrapNone/>
              <wp:docPr id="3" name="Cuadro de tex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33875" cy="6953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74616" w:rsidRPr="00D5325A" w:rsidRDefault="00774616" w:rsidP="00774616">
                          <w:pPr>
                            <w:spacing w:after="0" w:line="240" w:lineRule="auto"/>
                            <w:rPr>
                              <w:rFonts w:ascii="Palatino Linotype" w:hAnsi="Palatino Linotype"/>
                              <w:b/>
                              <w:color w:val="000000"/>
                              <w:sz w:val="18"/>
                              <w:szCs w:val="18"/>
                            </w:rPr>
                          </w:pPr>
                        </w:p>
                        <w:p w:rsidR="00774616" w:rsidRPr="00D5325A" w:rsidRDefault="00774616" w:rsidP="00774616">
                          <w:pPr>
                            <w:spacing w:after="0" w:line="240" w:lineRule="auto"/>
                            <w:jc w:val="right"/>
                            <w:rPr>
                              <w:rFonts w:ascii="Palatino Linotype" w:hAnsi="Palatino Linotype"/>
                              <w:b/>
                              <w:color w:val="000000"/>
                              <w:sz w:val="18"/>
                              <w:szCs w:val="18"/>
                            </w:rPr>
                          </w:pPr>
                          <w:r w:rsidRPr="00D5325A">
                            <w:rPr>
                              <w:rFonts w:ascii="Palatino Linotype" w:hAnsi="Palatino Linotype"/>
                              <w:b/>
                              <w:color w:val="000000"/>
                              <w:sz w:val="18"/>
                              <w:szCs w:val="18"/>
                            </w:rPr>
                            <w:t>DIRECCIÓN DE ADMINISTRAC</w:t>
                          </w:r>
                          <w:r>
                            <w:rPr>
                              <w:rFonts w:ascii="Palatino Linotype" w:hAnsi="Palatino Linotype"/>
                              <w:b/>
                              <w:color w:val="000000"/>
                              <w:sz w:val="18"/>
                              <w:szCs w:val="18"/>
                            </w:rPr>
                            <w:t>IÓN</w:t>
                          </w:r>
                        </w:p>
                        <w:p w:rsidR="00774616" w:rsidRPr="00D5325A" w:rsidRDefault="00774616" w:rsidP="00774616">
                          <w:pPr>
                            <w:spacing w:after="0" w:line="240" w:lineRule="auto"/>
                            <w:jc w:val="right"/>
                            <w:rPr>
                              <w:rFonts w:ascii="Palatino Linotype" w:hAnsi="Palatino Linotype"/>
                              <w:color w:val="000000"/>
                              <w:sz w:val="18"/>
                              <w:szCs w:val="18"/>
                            </w:rPr>
                          </w:pPr>
                          <w:r w:rsidRPr="00D5325A">
                            <w:rPr>
                              <w:rFonts w:ascii="Palatino Linotype" w:hAnsi="Palatino Linotype"/>
                              <w:color w:val="000000"/>
                              <w:sz w:val="18"/>
                              <w:szCs w:val="18"/>
                            </w:rPr>
                            <w:t>UNIDAD DE ADMINISTRACI</w:t>
                          </w:r>
                          <w:r>
                            <w:rPr>
                              <w:rFonts w:ascii="Palatino Linotype" w:hAnsi="Palatino Linotype"/>
                              <w:color w:val="000000"/>
                              <w:sz w:val="18"/>
                              <w:szCs w:val="18"/>
                            </w:rPr>
                            <w:t>Ó</w:t>
                          </w:r>
                          <w:r w:rsidRPr="00D5325A">
                            <w:rPr>
                              <w:rFonts w:ascii="Palatino Linotype" w:hAnsi="Palatino Linotype"/>
                              <w:color w:val="000000"/>
                              <w:sz w:val="18"/>
                              <w:szCs w:val="18"/>
                            </w:rPr>
                            <w:t>N</w:t>
                          </w:r>
                        </w:p>
                        <w:p w:rsidR="00774616" w:rsidRPr="00D5325A" w:rsidRDefault="00774616" w:rsidP="00774616">
                          <w:pPr>
                            <w:spacing w:after="0" w:line="240" w:lineRule="auto"/>
                            <w:jc w:val="right"/>
                            <w:rPr>
                              <w:rFonts w:ascii="Palatino Linotype" w:hAnsi="Palatino Linotype"/>
                              <w:color w:val="000000"/>
                              <w:sz w:val="18"/>
                              <w:szCs w:val="18"/>
                            </w:rPr>
                          </w:pPr>
                          <w:r w:rsidRPr="00D5325A">
                            <w:rPr>
                              <w:rFonts w:ascii="Palatino Linotype" w:hAnsi="Palatino Linotype"/>
                              <w:color w:val="000000"/>
                              <w:sz w:val="18"/>
                              <w:szCs w:val="18"/>
                            </w:rPr>
                            <w:t>COORDINACIÓN DE CONTROL DE ABASTO</w:t>
                          </w:r>
                        </w:p>
                        <w:p w:rsidR="00774616" w:rsidRPr="00D5325A" w:rsidRDefault="00774616" w:rsidP="00774616">
                          <w:pPr>
                            <w:rPr>
                              <w:rFonts w:ascii="Palatino Linotype" w:hAnsi="Palatino Linotype"/>
                              <w:b/>
                              <w:color w:val="000000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6" type="#_x0000_t202" style="position:absolute;left:0;text-align:left;margin-left:119.25pt;margin-top:-8.45pt;width:341.25pt;height:54.7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" strokecolor="white">
              <v:textbox>
                <w:txbxContent>
                  <w:p w:rsidR="00774616" w:rsidRPr="00D5325A" w:rsidRDefault="00774616" w:rsidP="00774616">
                    <w:pPr>
                      <w:spacing w:after="0" w:line="240" w:lineRule="auto"/>
                      <w:rPr>
                        <w:rFonts w:ascii="Palatino Linotype" w:hAnsi="Palatino Linotype"/>
                        <w:b/>
                        <w:color w:val="000000"/>
                        <w:sz w:val="18"/>
                        <w:szCs w:val="18"/>
                      </w:rPr>
                    </w:pPr>
                  </w:p>
                  <w:p w:rsidR="00774616" w:rsidRPr="00D5325A" w:rsidRDefault="00774616" w:rsidP="00774616">
                    <w:pPr>
                      <w:spacing w:after="0" w:line="240" w:lineRule="auto"/>
                      <w:jc w:val="right"/>
                      <w:rPr>
                        <w:rFonts w:ascii="Palatino Linotype" w:hAnsi="Palatino Linotype"/>
                        <w:b/>
                        <w:color w:val="000000"/>
                        <w:sz w:val="18"/>
                        <w:szCs w:val="18"/>
                      </w:rPr>
                    </w:pPr>
                    <w:r w:rsidRPr="00D5325A">
                      <w:rPr>
                        <w:rFonts w:ascii="Palatino Linotype" w:hAnsi="Palatino Linotype"/>
                        <w:b/>
                        <w:color w:val="000000"/>
                        <w:sz w:val="18"/>
                        <w:szCs w:val="18"/>
                      </w:rPr>
                      <w:t>DIRECCIÓN DE ADMINISTRAC</w:t>
                    </w:r>
                    <w:r>
                      <w:rPr>
                        <w:rFonts w:ascii="Palatino Linotype" w:hAnsi="Palatino Linotype"/>
                        <w:b/>
                        <w:color w:val="000000"/>
                        <w:sz w:val="18"/>
                        <w:szCs w:val="18"/>
                      </w:rPr>
                      <w:t>IÓN</w:t>
                    </w:r>
                  </w:p>
                  <w:p w:rsidR="00774616" w:rsidRPr="00D5325A" w:rsidRDefault="00774616" w:rsidP="00774616">
                    <w:pPr>
                      <w:spacing w:after="0" w:line="240" w:lineRule="auto"/>
                      <w:jc w:val="right"/>
                      <w:rPr>
                        <w:rFonts w:ascii="Palatino Linotype" w:hAnsi="Palatino Linotype"/>
                        <w:color w:val="000000"/>
                        <w:sz w:val="18"/>
                        <w:szCs w:val="18"/>
                      </w:rPr>
                    </w:pPr>
                    <w:r w:rsidRPr="00D5325A">
                      <w:rPr>
                        <w:rFonts w:ascii="Palatino Linotype" w:hAnsi="Palatino Linotype"/>
                        <w:color w:val="000000"/>
                        <w:sz w:val="18"/>
                        <w:szCs w:val="18"/>
                      </w:rPr>
                      <w:t>UNIDAD DE ADMINISTRACI</w:t>
                    </w:r>
                    <w:r>
                      <w:rPr>
                        <w:rFonts w:ascii="Palatino Linotype" w:hAnsi="Palatino Linotype"/>
                        <w:color w:val="000000"/>
                        <w:sz w:val="18"/>
                        <w:szCs w:val="18"/>
                      </w:rPr>
                      <w:t>Ó</w:t>
                    </w:r>
                    <w:r w:rsidRPr="00D5325A">
                      <w:rPr>
                        <w:rFonts w:ascii="Palatino Linotype" w:hAnsi="Palatino Linotype"/>
                        <w:color w:val="000000"/>
                        <w:sz w:val="18"/>
                        <w:szCs w:val="18"/>
                      </w:rPr>
                      <w:t>N</w:t>
                    </w:r>
                  </w:p>
                  <w:p w:rsidR="00774616" w:rsidRPr="00D5325A" w:rsidRDefault="00774616" w:rsidP="00774616">
                    <w:pPr>
                      <w:spacing w:after="0" w:line="240" w:lineRule="auto"/>
                      <w:jc w:val="right"/>
                      <w:rPr>
                        <w:rFonts w:ascii="Palatino Linotype" w:hAnsi="Palatino Linotype"/>
                        <w:color w:val="000000"/>
                        <w:sz w:val="18"/>
                        <w:szCs w:val="18"/>
                      </w:rPr>
                    </w:pPr>
                    <w:r w:rsidRPr="00D5325A">
                      <w:rPr>
                        <w:rFonts w:ascii="Palatino Linotype" w:hAnsi="Palatino Linotype"/>
                        <w:color w:val="000000"/>
                        <w:sz w:val="18"/>
                        <w:szCs w:val="18"/>
                      </w:rPr>
                      <w:t>COORDINACIÓN DE CONTROL DE ABASTO</w:t>
                    </w:r>
                  </w:p>
                  <w:p w:rsidR="00774616" w:rsidRPr="00D5325A" w:rsidRDefault="00774616" w:rsidP="00774616">
                    <w:pPr>
                      <w:rPr>
                        <w:rFonts w:ascii="Palatino Linotype" w:hAnsi="Palatino Linotype"/>
                        <w:b/>
                        <w:color w:val="000000"/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5803900</wp:posOffset>
          </wp:positionH>
          <wp:positionV relativeFrom="paragraph">
            <wp:posOffset>-22860</wp:posOffset>
          </wp:positionV>
          <wp:extent cx="581660" cy="715645"/>
          <wp:effectExtent l="0" t="0" r="8890" b="8255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660" cy="715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MX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-92710</wp:posOffset>
          </wp:positionH>
          <wp:positionV relativeFrom="paragraph">
            <wp:posOffset>23495</wp:posOffset>
          </wp:positionV>
          <wp:extent cx="2077085" cy="669290"/>
          <wp:effectExtent l="0" t="0" r="0" b="0"/>
          <wp:wrapNone/>
          <wp:docPr id="1" name="Imagen 1" descr="LOGO MEX HORI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LOGO MEX HORIZ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7085" cy="669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74616" w:rsidRDefault="00774616" w:rsidP="00774616">
    <w:pPr>
      <w:pStyle w:val="Encabezado"/>
    </w:pPr>
  </w:p>
  <w:p w:rsidR="00774616" w:rsidRDefault="00774616" w:rsidP="00774616">
    <w:pPr>
      <w:pStyle w:val="Encabezado"/>
    </w:pPr>
  </w:p>
  <w:p w:rsidR="00774616" w:rsidRDefault="00774616" w:rsidP="00774616">
    <w:pPr>
      <w:pStyle w:val="Encabezado"/>
    </w:pPr>
  </w:p>
  <w:p w:rsidR="00774616" w:rsidRDefault="00774616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07482"/>
    <w:multiLevelType w:val="hybridMultilevel"/>
    <w:tmpl w:val="C5F60B3A"/>
    <w:lvl w:ilvl="0" w:tplc="080A0019">
      <w:start w:val="1"/>
      <w:numFmt w:val="lowerLetter"/>
      <w:lvlText w:val="%1."/>
      <w:lvlJc w:val="left"/>
      <w:pPr>
        <w:ind w:left="1434" w:hanging="360"/>
      </w:pPr>
    </w:lvl>
    <w:lvl w:ilvl="1" w:tplc="080A0019" w:tentative="1">
      <w:start w:val="1"/>
      <w:numFmt w:val="lowerLetter"/>
      <w:lvlText w:val="%2."/>
      <w:lvlJc w:val="left"/>
      <w:pPr>
        <w:ind w:left="2154" w:hanging="360"/>
      </w:pPr>
    </w:lvl>
    <w:lvl w:ilvl="2" w:tplc="080A001B" w:tentative="1">
      <w:start w:val="1"/>
      <w:numFmt w:val="lowerRoman"/>
      <w:lvlText w:val="%3."/>
      <w:lvlJc w:val="right"/>
      <w:pPr>
        <w:ind w:left="2874" w:hanging="180"/>
      </w:pPr>
    </w:lvl>
    <w:lvl w:ilvl="3" w:tplc="080A000F" w:tentative="1">
      <w:start w:val="1"/>
      <w:numFmt w:val="decimal"/>
      <w:lvlText w:val="%4."/>
      <w:lvlJc w:val="left"/>
      <w:pPr>
        <w:ind w:left="3594" w:hanging="360"/>
      </w:pPr>
    </w:lvl>
    <w:lvl w:ilvl="4" w:tplc="080A0019" w:tentative="1">
      <w:start w:val="1"/>
      <w:numFmt w:val="lowerLetter"/>
      <w:lvlText w:val="%5."/>
      <w:lvlJc w:val="left"/>
      <w:pPr>
        <w:ind w:left="4314" w:hanging="360"/>
      </w:pPr>
    </w:lvl>
    <w:lvl w:ilvl="5" w:tplc="080A001B" w:tentative="1">
      <w:start w:val="1"/>
      <w:numFmt w:val="lowerRoman"/>
      <w:lvlText w:val="%6."/>
      <w:lvlJc w:val="right"/>
      <w:pPr>
        <w:ind w:left="5034" w:hanging="180"/>
      </w:pPr>
    </w:lvl>
    <w:lvl w:ilvl="6" w:tplc="080A000F" w:tentative="1">
      <w:start w:val="1"/>
      <w:numFmt w:val="decimal"/>
      <w:lvlText w:val="%7."/>
      <w:lvlJc w:val="left"/>
      <w:pPr>
        <w:ind w:left="5754" w:hanging="360"/>
      </w:pPr>
    </w:lvl>
    <w:lvl w:ilvl="7" w:tplc="080A0019" w:tentative="1">
      <w:start w:val="1"/>
      <w:numFmt w:val="lowerLetter"/>
      <w:lvlText w:val="%8."/>
      <w:lvlJc w:val="left"/>
      <w:pPr>
        <w:ind w:left="6474" w:hanging="360"/>
      </w:pPr>
    </w:lvl>
    <w:lvl w:ilvl="8" w:tplc="080A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">
    <w:nsid w:val="1D172A62"/>
    <w:multiLevelType w:val="hybridMultilevel"/>
    <w:tmpl w:val="524237D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C23646"/>
    <w:multiLevelType w:val="hybridMultilevel"/>
    <w:tmpl w:val="0526E818"/>
    <w:lvl w:ilvl="0" w:tplc="F33E41EA">
      <w:start w:val="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6643B4"/>
    <w:multiLevelType w:val="hybridMultilevel"/>
    <w:tmpl w:val="11BCAADC"/>
    <w:lvl w:ilvl="0" w:tplc="080A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4">
    <w:nsid w:val="5AB17127"/>
    <w:multiLevelType w:val="hybridMultilevel"/>
    <w:tmpl w:val="AD9CC64A"/>
    <w:lvl w:ilvl="0" w:tplc="0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8E6749"/>
    <w:multiLevelType w:val="hybridMultilevel"/>
    <w:tmpl w:val="1474E376"/>
    <w:lvl w:ilvl="0" w:tplc="080A000F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3491" w:hanging="360"/>
      </w:pPr>
    </w:lvl>
    <w:lvl w:ilvl="2" w:tplc="080A001B" w:tentative="1">
      <w:start w:val="1"/>
      <w:numFmt w:val="lowerRoman"/>
      <w:lvlText w:val="%3."/>
      <w:lvlJc w:val="right"/>
      <w:pPr>
        <w:ind w:left="4211" w:hanging="180"/>
      </w:pPr>
    </w:lvl>
    <w:lvl w:ilvl="3" w:tplc="080A000F" w:tentative="1">
      <w:start w:val="1"/>
      <w:numFmt w:val="decimal"/>
      <w:lvlText w:val="%4."/>
      <w:lvlJc w:val="left"/>
      <w:pPr>
        <w:ind w:left="4931" w:hanging="360"/>
      </w:pPr>
    </w:lvl>
    <w:lvl w:ilvl="4" w:tplc="080A0019" w:tentative="1">
      <w:start w:val="1"/>
      <w:numFmt w:val="lowerLetter"/>
      <w:lvlText w:val="%5."/>
      <w:lvlJc w:val="left"/>
      <w:pPr>
        <w:ind w:left="5651" w:hanging="360"/>
      </w:pPr>
    </w:lvl>
    <w:lvl w:ilvl="5" w:tplc="080A001B" w:tentative="1">
      <w:start w:val="1"/>
      <w:numFmt w:val="lowerRoman"/>
      <w:lvlText w:val="%6."/>
      <w:lvlJc w:val="right"/>
      <w:pPr>
        <w:ind w:left="6371" w:hanging="180"/>
      </w:pPr>
    </w:lvl>
    <w:lvl w:ilvl="6" w:tplc="080A000F" w:tentative="1">
      <w:start w:val="1"/>
      <w:numFmt w:val="decimal"/>
      <w:lvlText w:val="%7."/>
      <w:lvlJc w:val="left"/>
      <w:pPr>
        <w:ind w:left="7091" w:hanging="360"/>
      </w:pPr>
    </w:lvl>
    <w:lvl w:ilvl="7" w:tplc="080A0019" w:tentative="1">
      <w:start w:val="1"/>
      <w:numFmt w:val="lowerLetter"/>
      <w:lvlText w:val="%8."/>
      <w:lvlJc w:val="left"/>
      <w:pPr>
        <w:ind w:left="7811" w:hanging="360"/>
      </w:pPr>
    </w:lvl>
    <w:lvl w:ilvl="8" w:tplc="080A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6">
    <w:nsid w:val="7DF26E60"/>
    <w:multiLevelType w:val="hybridMultilevel"/>
    <w:tmpl w:val="49F83A0A"/>
    <w:lvl w:ilvl="0" w:tplc="13805CCE">
      <w:start w:val="1"/>
      <w:numFmt w:val="decimal"/>
      <w:lvlText w:val="%1."/>
      <w:lvlJc w:val="left"/>
      <w:pPr>
        <w:ind w:left="1074" w:hanging="360"/>
      </w:pPr>
      <w:rPr>
        <w:b/>
      </w:rPr>
    </w:lvl>
    <w:lvl w:ilvl="1" w:tplc="080A0003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D68"/>
    <w:rsid w:val="00087828"/>
    <w:rsid w:val="002232A0"/>
    <w:rsid w:val="003D10B5"/>
    <w:rsid w:val="004F1EE9"/>
    <w:rsid w:val="005A1CA8"/>
    <w:rsid w:val="006233BE"/>
    <w:rsid w:val="00774616"/>
    <w:rsid w:val="00973A78"/>
    <w:rsid w:val="00AB2F9C"/>
    <w:rsid w:val="00B144E0"/>
    <w:rsid w:val="00C571C8"/>
    <w:rsid w:val="00CD50DF"/>
    <w:rsid w:val="00E8711D"/>
    <w:rsid w:val="00F00E9F"/>
    <w:rsid w:val="00F73D68"/>
    <w:rsid w:val="00F84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3D68"/>
    <w:pPr>
      <w:jc w:val="both"/>
    </w:pPr>
    <w:rPr>
      <w:rFonts w:ascii="Cambria" w:eastAsia="Calibri" w:hAnsi="Cambria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lp1,Lista vistosa - Énfasis 11,List Paragraph11,Bullet List,FooterText,numbered,Paragraphe de liste1,Bulletr List Paragraph,列出段落,列出段落1,Scitum normal,Listas,Colorful List - Accent 11,TítuloB,4 Párrafo de lista,Figuras,List Paragraph"/>
    <w:basedOn w:val="Normal"/>
    <w:link w:val="PrrafodelistaCar"/>
    <w:uiPriority w:val="34"/>
    <w:qFormat/>
    <w:rsid w:val="00F73D68"/>
    <w:pPr>
      <w:spacing w:after="0" w:line="240" w:lineRule="auto"/>
      <w:ind w:left="720"/>
      <w:contextualSpacing/>
    </w:pPr>
    <w:rPr>
      <w:rFonts w:ascii="Arial" w:hAnsi="Arial"/>
      <w:sz w:val="24"/>
      <w:szCs w:val="24"/>
      <w:lang w:val="x-none" w:eastAsia="es-ES"/>
    </w:rPr>
  </w:style>
  <w:style w:type="character" w:customStyle="1" w:styleId="PrrafodelistaCar">
    <w:name w:val="Párrafo de lista Car"/>
    <w:aliases w:val="lp1 Car,Lista vistosa - Énfasis 11 Car,List Paragraph11 Car,Bullet List Car,FooterText Car,numbered Car,Paragraphe de liste1 Car,Bulletr List Paragraph Car,列出段落 Car,列出段落1 Car,Scitum normal Car,Listas Car,TítuloB Car,Figuras Car"/>
    <w:link w:val="Prrafodelista"/>
    <w:uiPriority w:val="34"/>
    <w:rsid w:val="00F73D68"/>
    <w:rPr>
      <w:rFonts w:ascii="Arial" w:eastAsia="Calibri" w:hAnsi="Arial" w:cs="Times New Roman"/>
      <w:sz w:val="24"/>
      <w:szCs w:val="24"/>
      <w:lang w:val="x-none" w:eastAsia="es-ES"/>
    </w:rPr>
  </w:style>
  <w:style w:type="table" w:styleId="Tablaconcuadrcula">
    <w:name w:val="Table Grid"/>
    <w:basedOn w:val="Tablanormal"/>
    <w:uiPriority w:val="59"/>
    <w:rsid w:val="00F73D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77461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74616"/>
    <w:rPr>
      <w:rFonts w:ascii="Cambria" w:eastAsia="Calibri" w:hAnsi="Cambria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77461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74616"/>
    <w:rPr>
      <w:rFonts w:ascii="Cambria" w:eastAsia="Calibri" w:hAnsi="Cambria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3D68"/>
    <w:pPr>
      <w:jc w:val="both"/>
    </w:pPr>
    <w:rPr>
      <w:rFonts w:ascii="Cambria" w:eastAsia="Calibri" w:hAnsi="Cambria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lp1,Lista vistosa - Énfasis 11,List Paragraph11,Bullet List,FooterText,numbered,Paragraphe de liste1,Bulletr List Paragraph,列出段落,列出段落1,Scitum normal,Listas,Colorful List - Accent 11,TítuloB,4 Párrafo de lista,Figuras,List Paragraph"/>
    <w:basedOn w:val="Normal"/>
    <w:link w:val="PrrafodelistaCar"/>
    <w:uiPriority w:val="34"/>
    <w:qFormat/>
    <w:rsid w:val="00F73D68"/>
    <w:pPr>
      <w:spacing w:after="0" w:line="240" w:lineRule="auto"/>
      <w:ind w:left="720"/>
      <w:contextualSpacing/>
    </w:pPr>
    <w:rPr>
      <w:rFonts w:ascii="Arial" w:hAnsi="Arial"/>
      <w:sz w:val="24"/>
      <w:szCs w:val="24"/>
      <w:lang w:val="x-none" w:eastAsia="es-ES"/>
    </w:rPr>
  </w:style>
  <w:style w:type="character" w:customStyle="1" w:styleId="PrrafodelistaCar">
    <w:name w:val="Párrafo de lista Car"/>
    <w:aliases w:val="lp1 Car,Lista vistosa - Énfasis 11 Car,List Paragraph11 Car,Bullet List Car,FooterText Car,numbered Car,Paragraphe de liste1 Car,Bulletr List Paragraph Car,列出段落 Car,列出段落1 Car,Scitum normal Car,Listas Car,TítuloB Car,Figuras Car"/>
    <w:link w:val="Prrafodelista"/>
    <w:uiPriority w:val="34"/>
    <w:rsid w:val="00F73D68"/>
    <w:rPr>
      <w:rFonts w:ascii="Arial" w:eastAsia="Calibri" w:hAnsi="Arial" w:cs="Times New Roman"/>
      <w:sz w:val="24"/>
      <w:szCs w:val="24"/>
      <w:lang w:val="x-none" w:eastAsia="es-ES"/>
    </w:rPr>
  </w:style>
  <w:style w:type="table" w:styleId="Tablaconcuadrcula">
    <w:name w:val="Table Grid"/>
    <w:basedOn w:val="Tablanormal"/>
    <w:uiPriority w:val="59"/>
    <w:rsid w:val="00F73D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77461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74616"/>
    <w:rPr>
      <w:rFonts w:ascii="Cambria" w:eastAsia="Calibri" w:hAnsi="Cambria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77461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74616"/>
    <w:rPr>
      <w:rFonts w:ascii="Cambria" w:eastAsia="Calibri" w:hAnsi="Cambri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513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Instituto Mexicano del Seguro Social</Company>
  <LinksUpToDate>false</LinksUpToDate>
  <CharactersWithSpaces>3330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Aleida Rosa Morales Zeballos</dc:creator>
  <cp:lastModifiedBy>Cristina Amador Mendoza</cp:lastModifiedBy>
  <cp:revision>2</cp:revision>
  <dcterms:created xsi:type="dcterms:W3CDTF">2017-09-28T16:14:00Z</dcterms:created>
  <dcterms:modified xsi:type="dcterms:W3CDTF">2017-09-28T16:14:00Z</dcterms:modified>
</cp:coreProperties>
</file>